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BD058" w14:textId="77777777" w:rsidR="00F243A8" w:rsidRPr="00FA28BA" w:rsidRDefault="00B04B25" w:rsidP="00F243A8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F1867FE" wp14:editId="4544E0FE">
            <wp:extent cx="5942469" cy="669472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4391" t="13255" r="14904" b="77824"/>
                    <a:stretch/>
                  </pic:blipFill>
                  <pic:spPr bwMode="auto">
                    <a:xfrm>
                      <a:off x="0" y="0"/>
                      <a:ext cx="6004487" cy="6764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84B83C" w14:textId="77777777" w:rsidR="00F243A8" w:rsidRDefault="00F243A8" w:rsidP="00F243A8">
      <w:pPr>
        <w:pStyle w:val="NoSpacing"/>
        <w:jc w:val="center"/>
        <w:rPr>
          <w:b/>
          <w:sz w:val="28"/>
          <w:szCs w:val="28"/>
        </w:rPr>
      </w:pPr>
    </w:p>
    <w:p w14:paraId="159C7771" w14:textId="02846A85" w:rsidR="00F243A8" w:rsidRPr="00CB4B11" w:rsidRDefault="00F243A8" w:rsidP="00F243A8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CHEJ Small Grants Program - 202</w:t>
      </w:r>
      <w:r w:rsidR="00A2792B">
        <w:rPr>
          <w:b/>
          <w:sz w:val="28"/>
          <w:szCs w:val="28"/>
        </w:rPr>
        <w:t>3</w:t>
      </w:r>
      <w:r w:rsidRPr="00CB4B11">
        <w:rPr>
          <w:b/>
          <w:sz w:val="28"/>
          <w:szCs w:val="28"/>
        </w:rPr>
        <w:t xml:space="preserve"> Guidelines</w:t>
      </w:r>
      <w:r w:rsidR="00374B1B">
        <w:rPr>
          <w:b/>
          <w:sz w:val="28"/>
          <w:szCs w:val="28"/>
        </w:rPr>
        <w:t xml:space="preserve"> and link to </w:t>
      </w:r>
      <w:r w:rsidR="008B2CCF">
        <w:rPr>
          <w:b/>
          <w:sz w:val="28"/>
          <w:szCs w:val="28"/>
        </w:rPr>
        <w:t xml:space="preserve">the </w:t>
      </w:r>
      <w:r w:rsidR="00374B1B">
        <w:rPr>
          <w:b/>
          <w:sz w:val="28"/>
          <w:szCs w:val="28"/>
        </w:rPr>
        <w:t>application</w:t>
      </w:r>
      <w:r w:rsidR="008B2CCF">
        <w:rPr>
          <w:b/>
          <w:sz w:val="28"/>
          <w:szCs w:val="28"/>
        </w:rPr>
        <w:t>s</w:t>
      </w:r>
      <w:r w:rsidR="00374B1B">
        <w:rPr>
          <w:b/>
          <w:sz w:val="28"/>
          <w:szCs w:val="28"/>
        </w:rPr>
        <w:t xml:space="preserve"> </w:t>
      </w:r>
    </w:p>
    <w:p w14:paraId="2E9EF2E2" w14:textId="14599D72" w:rsidR="00F243A8" w:rsidRDefault="00AA421C" w:rsidP="00F243A8">
      <w:pPr>
        <w:pStyle w:val="NoSpacing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All Tiers – Round </w:t>
      </w:r>
      <w:r w:rsidR="00740C85">
        <w:rPr>
          <w:b/>
          <w:sz w:val="28"/>
          <w:szCs w:val="28"/>
          <w:u w:val="single"/>
        </w:rPr>
        <w:t>1</w:t>
      </w:r>
    </w:p>
    <w:p w14:paraId="22D890DC" w14:textId="77777777" w:rsidR="00F243A8" w:rsidRDefault="00F243A8" w:rsidP="00F243A8">
      <w:pPr>
        <w:pStyle w:val="NoSpacing"/>
        <w:jc w:val="both"/>
        <w:rPr>
          <w:b/>
          <w:color w:val="FF0000"/>
          <w:sz w:val="28"/>
          <w:szCs w:val="28"/>
          <w:u w:val="single"/>
        </w:rPr>
      </w:pPr>
    </w:p>
    <w:p w14:paraId="693A09B5" w14:textId="77777777" w:rsidR="00F243A8" w:rsidRPr="00EE027F" w:rsidRDefault="00F243A8" w:rsidP="00F243A8">
      <w:pPr>
        <w:ind w:left="360"/>
        <w:jc w:val="both"/>
        <w:rPr>
          <w:rFonts w:cstheme="minorHAnsi"/>
          <w:bCs/>
        </w:rPr>
      </w:pPr>
      <w:r w:rsidRPr="00EE027F">
        <w:rPr>
          <w:rFonts w:cstheme="minorHAnsi"/>
          <w:b/>
          <w:bCs/>
        </w:rPr>
        <w:t>CHEJ has a Small Grants Program for grassroots groups working on environmental health and justice issues. </w:t>
      </w:r>
      <w:r w:rsidRPr="00EE027F">
        <w:rPr>
          <w:rFonts w:cstheme="minorHAnsi"/>
        </w:rPr>
        <w:t xml:space="preserve">Grassroots communities of color, low wealth, rural and urban groups are encouraged to apply.  </w:t>
      </w:r>
      <w:r w:rsidRPr="00343AF3">
        <w:rPr>
          <w:rFonts w:cstheme="minorHAnsi"/>
        </w:rPr>
        <w:t>If you are part of a coalition, each group in the coalition may apply as well as the coalition itself. This</w:t>
      </w:r>
      <w:r w:rsidRPr="00EE027F">
        <w:rPr>
          <w:rFonts w:cstheme="minorHAnsi"/>
        </w:rPr>
        <w:t xml:space="preserve"> grant program will support projects that help groups move toward their goals by building leadership, increasing capacity, or providing training and education.  A priority of </w:t>
      </w:r>
      <w:r w:rsidRPr="00EE027F">
        <w:rPr>
          <w:rFonts w:cstheme="minorHAnsi"/>
          <w:bCs/>
        </w:rPr>
        <w:t>CHEJ’s Small Grants Program is to help grassroots community grou</w:t>
      </w:r>
      <w:r>
        <w:rPr>
          <w:rFonts w:cstheme="minorHAnsi"/>
          <w:bCs/>
        </w:rPr>
        <w:t>ps to build their capacity.  Our</w:t>
      </w:r>
      <w:r w:rsidRPr="00EE027F">
        <w:rPr>
          <w:rFonts w:cstheme="minorHAnsi"/>
          <w:bCs/>
        </w:rPr>
        <w:t xml:space="preserve"> program is designed to reach people from low wealth communities and communities of color who are impacted by environmental harms. </w:t>
      </w:r>
    </w:p>
    <w:p w14:paraId="72935106" w14:textId="4A531011" w:rsidR="00174988" w:rsidRDefault="00F243A8" w:rsidP="00174988">
      <w:pPr>
        <w:spacing w:after="0" w:line="240" w:lineRule="auto"/>
        <w:ind w:left="360"/>
        <w:jc w:val="both"/>
      </w:pPr>
      <w:r w:rsidRPr="00343AF3">
        <w:rPr>
          <w:rFonts w:eastAsia="Calibri" w:cstheme="minorHAnsi"/>
        </w:rPr>
        <w:t xml:space="preserve">Please carefully read the guidelines and areas of interest before you apply. </w:t>
      </w:r>
      <w:r w:rsidR="00174988" w:rsidRPr="00343AF3">
        <w:t>We recognize that we are operating in an unusual time because of the coronavirus and that this may impact your options for carrying out your work.</w:t>
      </w:r>
      <w:r w:rsidR="00174988">
        <w:t xml:space="preserve"> We will take this into consideration when reviewing all applications.  </w:t>
      </w:r>
    </w:p>
    <w:p w14:paraId="6F9C2DEC" w14:textId="77777777" w:rsidR="008B2CCF" w:rsidRDefault="008B2CCF" w:rsidP="00174988">
      <w:pPr>
        <w:spacing w:after="0" w:line="240" w:lineRule="auto"/>
        <w:ind w:left="360"/>
        <w:jc w:val="both"/>
      </w:pPr>
    </w:p>
    <w:p w14:paraId="18983F14" w14:textId="0D26ABCA" w:rsidR="00F243A8" w:rsidRPr="00EE027F" w:rsidRDefault="00F243A8" w:rsidP="00F243A8">
      <w:pPr>
        <w:widowControl w:val="0"/>
        <w:spacing w:after="0" w:line="240" w:lineRule="auto"/>
        <w:ind w:left="360"/>
        <w:jc w:val="both"/>
        <w:rPr>
          <w:rFonts w:eastAsia="Calibri" w:cstheme="minorHAnsi"/>
        </w:rPr>
      </w:pPr>
      <w:r w:rsidRPr="00EE027F">
        <w:rPr>
          <w:rFonts w:eastAsia="Calibri" w:cstheme="minorHAnsi"/>
        </w:rPr>
        <w:t xml:space="preserve">The closer your project is to the focus of the Center for Health, Environment &amp; Justice’s (CHEJ) program, the better chance you </w:t>
      </w:r>
      <w:proofErr w:type="gramStart"/>
      <w:r w:rsidRPr="00EE027F">
        <w:rPr>
          <w:rFonts w:eastAsia="Calibri" w:cstheme="minorHAnsi"/>
        </w:rPr>
        <w:t>have to</w:t>
      </w:r>
      <w:proofErr w:type="gramEnd"/>
      <w:r w:rsidRPr="00EE027F">
        <w:rPr>
          <w:rFonts w:eastAsia="Calibri" w:cstheme="minorHAnsi"/>
        </w:rPr>
        <w:t xml:space="preserve"> succeed in securing funding. CHEJ supports a wide range of issues; however, we have a limited amount of funds to </w:t>
      </w:r>
      <w:r w:rsidRPr="00EE027F">
        <w:rPr>
          <w:rFonts w:eastAsia="Calibri" w:cstheme="minorHAnsi"/>
          <w:noProof/>
        </w:rPr>
        <w:t>support</w:t>
      </w:r>
      <w:r w:rsidRPr="00EE027F">
        <w:rPr>
          <w:rFonts w:eastAsia="Calibri" w:cstheme="minorHAnsi"/>
        </w:rPr>
        <w:t xml:space="preserve"> a specific focus. That doesn’t mean that your work outside the </w:t>
      </w:r>
      <w:r w:rsidRPr="00EE027F">
        <w:rPr>
          <w:rFonts w:eastAsia="Calibri" w:cstheme="minorHAnsi"/>
          <w:noProof/>
        </w:rPr>
        <w:t>focus</w:t>
      </w:r>
      <w:r w:rsidRPr="00EE027F">
        <w:rPr>
          <w:rFonts w:eastAsia="Calibri" w:cstheme="minorHAnsi"/>
        </w:rPr>
        <w:t xml:space="preserve"> is less </w:t>
      </w:r>
      <w:r w:rsidRPr="00EE027F">
        <w:rPr>
          <w:rFonts w:eastAsia="Calibri" w:cstheme="minorHAnsi"/>
          <w:noProof/>
        </w:rPr>
        <w:t>critical</w:t>
      </w:r>
      <w:r w:rsidRPr="00EE027F">
        <w:rPr>
          <w:rFonts w:eastAsia="Calibri" w:cstheme="minorHAnsi"/>
        </w:rPr>
        <w:t>-- IT IS NOT. If you have questions about your project meet</w:t>
      </w:r>
      <w:r w:rsidR="008B2CCF">
        <w:rPr>
          <w:rFonts w:eastAsia="Calibri" w:cstheme="minorHAnsi"/>
        </w:rPr>
        <w:t>ing</w:t>
      </w:r>
      <w:r w:rsidRPr="00EE027F">
        <w:rPr>
          <w:rFonts w:eastAsia="Calibri" w:cstheme="minorHAnsi"/>
        </w:rPr>
        <w:t xml:space="preserve"> the guidelines, please call and ask before </w:t>
      </w:r>
      <w:r w:rsidR="008B2CCF">
        <w:rPr>
          <w:rFonts w:eastAsia="Calibri" w:cstheme="minorHAnsi"/>
        </w:rPr>
        <w:t>investing</w:t>
      </w:r>
      <w:r w:rsidRPr="00EE027F">
        <w:rPr>
          <w:rFonts w:eastAsia="Calibri" w:cstheme="minorHAnsi"/>
        </w:rPr>
        <w:t xml:space="preserve"> your valuable time in filling out the forms. We’ll give you an honest answer.</w:t>
      </w:r>
    </w:p>
    <w:p w14:paraId="23B8AB53" w14:textId="77777777" w:rsidR="00F243A8" w:rsidRPr="00EE027F" w:rsidRDefault="00F243A8" w:rsidP="00F243A8">
      <w:pPr>
        <w:widowControl w:val="0"/>
        <w:spacing w:after="0" w:line="240" w:lineRule="auto"/>
        <w:ind w:left="360" w:right="-270"/>
        <w:rPr>
          <w:rFonts w:eastAsia="Calibri" w:cstheme="minorHAnsi"/>
          <w:sz w:val="18"/>
          <w:szCs w:val="18"/>
        </w:rPr>
      </w:pPr>
    </w:p>
    <w:p w14:paraId="7E914672" w14:textId="77777777" w:rsidR="00F243A8" w:rsidRPr="00EE027F" w:rsidRDefault="00F243A8" w:rsidP="00F243A8">
      <w:pPr>
        <w:widowControl w:val="0"/>
        <w:spacing w:after="0" w:line="240" w:lineRule="auto"/>
        <w:ind w:left="360"/>
        <w:jc w:val="both"/>
        <w:rPr>
          <w:rFonts w:eastAsia="Calibri" w:cstheme="minorHAnsi"/>
        </w:rPr>
      </w:pPr>
      <w:r w:rsidRPr="00EE027F">
        <w:rPr>
          <w:rFonts w:eastAsia="Calibri" w:cstheme="minorHAnsi"/>
        </w:rPr>
        <w:t>CHEJ prioritizes community-based organizations aiming to have local, state</w:t>
      </w:r>
      <w:r>
        <w:rPr>
          <w:rFonts w:eastAsia="Calibri" w:cstheme="minorHAnsi"/>
        </w:rPr>
        <w:t>,</w:t>
      </w:r>
      <w:r w:rsidRPr="00EE027F">
        <w:rPr>
          <w:rFonts w:eastAsia="Calibri" w:cstheme="minorHAnsi"/>
        </w:rPr>
        <w:t xml:space="preserve"> and regional impact as the core of the health and environmental justice movement. CHEJ believes that no social change on behalf of the exploited comes without strong community-based organizations. </w:t>
      </w:r>
    </w:p>
    <w:p w14:paraId="26488591" w14:textId="77777777" w:rsidR="00F243A8" w:rsidRPr="00990827" w:rsidRDefault="00F243A8" w:rsidP="00F243A8">
      <w:pPr>
        <w:pStyle w:val="paragraph"/>
        <w:ind w:left="360"/>
        <w:textAlignment w:val="baseline"/>
        <w:rPr>
          <w:rStyle w:val="normaltextrun"/>
          <w:rFonts w:asciiTheme="minorHAnsi" w:hAnsiTheme="minorHAnsi" w:cstheme="minorHAnsi"/>
          <w:bCs/>
        </w:rPr>
      </w:pPr>
    </w:p>
    <w:p w14:paraId="4738D2C8" w14:textId="77777777" w:rsidR="00F243A8" w:rsidRPr="00174988" w:rsidRDefault="00F243A8" w:rsidP="00F243A8">
      <w:pPr>
        <w:pStyle w:val="NoSpacing"/>
        <w:ind w:left="360"/>
        <w:rPr>
          <w:rStyle w:val="normaltextrun"/>
          <w:rFonts w:cstheme="minorHAnsi"/>
          <w:b/>
          <w:bCs/>
          <w:sz w:val="24"/>
          <w:szCs w:val="24"/>
        </w:rPr>
      </w:pPr>
      <w:r w:rsidRPr="00174988">
        <w:rPr>
          <w:rStyle w:val="normaltextrun"/>
          <w:rFonts w:cstheme="minorHAnsi"/>
          <w:b/>
          <w:bCs/>
          <w:sz w:val="24"/>
          <w:szCs w:val="24"/>
        </w:rPr>
        <w:t>Grant activities can include: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4384"/>
        <w:gridCol w:w="4611"/>
      </w:tblGrid>
      <w:tr w:rsidR="00F243A8" w:rsidRPr="00EE027F" w14:paraId="50DE847C" w14:textId="77777777" w:rsidTr="00C11E51">
        <w:tc>
          <w:tcPr>
            <w:tcW w:w="5305" w:type="dxa"/>
          </w:tcPr>
          <w:p w14:paraId="69FB2AF4" w14:textId="77777777" w:rsidR="00F243A8" w:rsidRPr="00EE027F" w:rsidRDefault="00F243A8" w:rsidP="00C11E51">
            <w:pPr>
              <w:pStyle w:val="NoSpacing"/>
              <w:rPr>
                <w:rStyle w:val="normaltextrun"/>
                <w:rFonts w:cstheme="minorHAnsi"/>
                <w:bCs/>
                <w:sz w:val="24"/>
                <w:szCs w:val="24"/>
                <w:highlight w:val="yellow"/>
              </w:rPr>
            </w:pPr>
            <w:r w:rsidRPr="00174988">
              <w:rPr>
                <w:rStyle w:val="normaltextrun"/>
                <w:rFonts w:cstheme="minorHAnsi"/>
                <w:bCs/>
                <w:sz w:val="24"/>
                <w:szCs w:val="24"/>
              </w:rPr>
              <w:t xml:space="preserve">Board Development </w:t>
            </w:r>
          </w:p>
        </w:tc>
        <w:tc>
          <w:tcPr>
            <w:tcW w:w="5405" w:type="dxa"/>
          </w:tcPr>
          <w:p w14:paraId="63ABCCD9" w14:textId="77777777" w:rsidR="00F243A8" w:rsidRPr="00EE027F" w:rsidRDefault="00F243A8" w:rsidP="00C11E51">
            <w:pPr>
              <w:pStyle w:val="NoSpacing"/>
              <w:rPr>
                <w:rStyle w:val="normaltextrun"/>
                <w:rFonts w:cstheme="minorHAnsi"/>
                <w:bCs/>
                <w:sz w:val="24"/>
                <w:szCs w:val="24"/>
                <w:highlight w:val="yellow"/>
              </w:rPr>
            </w:pPr>
            <w:r w:rsidRPr="00174988">
              <w:rPr>
                <w:rStyle w:val="normaltextrun"/>
                <w:rFonts w:cstheme="minorHAnsi"/>
                <w:bCs/>
                <w:sz w:val="24"/>
                <w:szCs w:val="24"/>
              </w:rPr>
              <w:t xml:space="preserve">Membership outreach </w:t>
            </w:r>
          </w:p>
        </w:tc>
      </w:tr>
      <w:tr w:rsidR="00F243A8" w:rsidRPr="00EE027F" w14:paraId="162D0B86" w14:textId="77777777" w:rsidTr="00C11E51">
        <w:tc>
          <w:tcPr>
            <w:tcW w:w="5305" w:type="dxa"/>
          </w:tcPr>
          <w:p w14:paraId="038D7938" w14:textId="77777777" w:rsidR="00F243A8" w:rsidRPr="00174988" w:rsidRDefault="00F243A8" w:rsidP="00C11E51">
            <w:pPr>
              <w:pStyle w:val="NoSpacing"/>
              <w:rPr>
                <w:rStyle w:val="normaltextrun"/>
                <w:rFonts w:cstheme="minorHAnsi"/>
                <w:bCs/>
                <w:sz w:val="24"/>
                <w:szCs w:val="24"/>
              </w:rPr>
            </w:pPr>
            <w:r w:rsidRPr="00174988">
              <w:rPr>
                <w:rStyle w:val="normaltextrun"/>
                <w:rFonts w:cstheme="minorHAnsi"/>
                <w:bCs/>
                <w:sz w:val="24"/>
                <w:szCs w:val="24"/>
              </w:rPr>
              <w:t xml:space="preserve">Fundraising efforts </w:t>
            </w:r>
          </w:p>
        </w:tc>
        <w:tc>
          <w:tcPr>
            <w:tcW w:w="5405" w:type="dxa"/>
          </w:tcPr>
          <w:p w14:paraId="65700998" w14:textId="1F99281F" w:rsidR="00F243A8" w:rsidRPr="00EE027F" w:rsidRDefault="00F243A8" w:rsidP="00C11E51">
            <w:pPr>
              <w:pStyle w:val="NoSpacing"/>
              <w:rPr>
                <w:rStyle w:val="normaltextrun"/>
                <w:rFonts w:cstheme="minorHAnsi"/>
                <w:bCs/>
                <w:sz w:val="24"/>
                <w:szCs w:val="24"/>
                <w:highlight w:val="yellow"/>
              </w:rPr>
            </w:pPr>
            <w:r w:rsidRPr="00174988">
              <w:rPr>
                <w:rStyle w:val="normaltextrun"/>
                <w:rFonts w:cstheme="minorHAnsi"/>
                <w:bCs/>
                <w:sz w:val="24"/>
                <w:szCs w:val="24"/>
              </w:rPr>
              <w:t>Meeting</w:t>
            </w:r>
            <w:r w:rsidR="008B2CCF">
              <w:rPr>
                <w:rStyle w:val="normaltextrun"/>
                <w:rFonts w:cstheme="minorHAnsi"/>
                <w:bCs/>
                <w:sz w:val="24"/>
                <w:szCs w:val="24"/>
              </w:rPr>
              <w:t>s</w:t>
            </w:r>
            <w:r w:rsidRPr="00174988">
              <w:rPr>
                <w:rStyle w:val="normaltextrun"/>
                <w:rFonts w:cstheme="minorHAnsi"/>
                <w:bCs/>
                <w:sz w:val="24"/>
                <w:szCs w:val="24"/>
              </w:rPr>
              <w:t xml:space="preserve"> to develop organizing/strategic plans</w:t>
            </w:r>
            <w:r w:rsidR="00174988" w:rsidRPr="00174988">
              <w:rPr>
                <w:rStyle w:val="normaltextrun"/>
                <w:rFonts w:cstheme="minorHAnsi"/>
                <w:bCs/>
                <w:sz w:val="24"/>
                <w:szCs w:val="24"/>
              </w:rPr>
              <w:t>. Events that are part of that plan.</w:t>
            </w:r>
          </w:p>
        </w:tc>
      </w:tr>
      <w:tr w:rsidR="00F243A8" w:rsidRPr="00EE027F" w14:paraId="1C331747" w14:textId="77777777" w:rsidTr="00C11E51">
        <w:tc>
          <w:tcPr>
            <w:tcW w:w="5305" w:type="dxa"/>
          </w:tcPr>
          <w:p w14:paraId="591FDE75" w14:textId="77777777" w:rsidR="00F243A8" w:rsidRPr="00174988" w:rsidRDefault="00F243A8" w:rsidP="00C11E51">
            <w:pPr>
              <w:pStyle w:val="NoSpacing"/>
              <w:rPr>
                <w:rStyle w:val="normaltextrun"/>
                <w:rFonts w:cstheme="minorHAnsi"/>
                <w:bCs/>
                <w:sz w:val="24"/>
                <w:szCs w:val="24"/>
              </w:rPr>
            </w:pPr>
            <w:r w:rsidRPr="00174988">
              <w:rPr>
                <w:rStyle w:val="normaltextrun"/>
                <w:rFonts w:cstheme="minorHAnsi"/>
                <w:bCs/>
                <w:sz w:val="24"/>
                <w:szCs w:val="24"/>
              </w:rPr>
              <w:t xml:space="preserve">Training leaders to go door-to-door </w:t>
            </w:r>
          </w:p>
        </w:tc>
        <w:tc>
          <w:tcPr>
            <w:tcW w:w="5405" w:type="dxa"/>
          </w:tcPr>
          <w:p w14:paraId="36A612FC" w14:textId="34DE6E2D" w:rsidR="00F243A8" w:rsidRPr="00EE027F" w:rsidRDefault="008B2CCF" w:rsidP="00C11E51">
            <w:pPr>
              <w:pStyle w:val="NoSpacing"/>
              <w:rPr>
                <w:rStyle w:val="normaltextrun"/>
                <w:rFonts w:cstheme="minorHAnsi"/>
                <w:bCs/>
                <w:sz w:val="24"/>
                <w:szCs w:val="24"/>
                <w:highlight w:val="yellow"/>
              </w:rPr>
            </w:pPr>
            <w:r w:rsidRPr="00BC5160">
              <w:rPr>
                <w:rStyle w:val="normaltextrun"/>
                <w:rFonts w:cstheme="minorHAnsi"/>
                <w:bCs/>
              </w:rPr>
              <w:t>Equipment for communications, such as t</w:t>
            </w:r>
            <w:r>
              <w:rPr>
                <w:rStyle w:val="normaltextrun"/>
                <w:rFonts w:cstheme="minorHAnsi"/>
                <w:bCs/>
              </w:rPr>
              <w:t xml:space="preserve">he </w:t>
            </w:r>
            <w:r w:rsidRPr="00BC5160">
              <w:rPr>
                <w:rStyle w:val="normaltextrun"/>
                <w:rFonts w:cstheme="minorHAnsi"/>
                <w:bCs/>
              </w:rPr>
              <w:t xml:space="preserve">purchase </w:t>
            </w:r>
            <w:r>
              <w:rPr>
                <w:rStyle w:val="normaltextrun"/>
                <w:rFonts w:cstheme="minorHAnsi"/>
                <w:bCs/>
              </w:rPr>
              <w:t xml:space="preserve">of </w:t>
            </w:r>
            <w:r w:rsidRPr="00BC5160">
              <w:rPr>
                <w:rStyle w:val="normaltextrun"/>
                <w:rFonts w:cstheme="minorHAnsi"/>
                <w:bCs/>
              </w:rPr>
              <w:t>Zoom software.</w:t>
            </w:r>
          </w:p>
        </w:tc>
      </w:tr>
      <w:tr w:rsidR="00F243A8" w:rsidRPr="00EE027F" w14:paraId="2F73FD17" w14:textId="77777777" w:rsidTr="00C11E51">
        <w:tc>
          <w:tcPr>
            <w:tcW w:w="5305" w:type="dxa"/>
          </w:tcPr>
          <w:p w14:paraId="6F10CE70" w14:textId="77777777" w:rsidR="00F243A8" w:rsidRPr="00EE027F" w:rsidRDefault="00F243A8" w:rsidP="00C11E51">
            <w:pPr>
              <w:pStyle w:val="NoSpacing"/>
              <w:rPr>
                <w:rStyle w:val="normaltextrun"/>
                <w:rFonts w:cstheme="minorHAnsi"/>
                <w:bCs/>
                <w:sz w:val="24"/>
                <w:szCs w:val="24"/>
                <w:highlight w:val="yellow"/>
              </w:rPr>
            </w:pPr>
            <w:r w:rsidRPr="00174988">
              <w:rPr>
                <w:rStyle w:val="normaltextrun"/>
                <w:rFonts w:cstheme="minorHAnsi"/>
                <w:bCs/>
                <w:sz w:val="24"/>
                <w:szCs w:val="24"/>
              </w:rPr>
              <w:t>Educational activities directly connected to your strategic plan</w:t>
            </w:r>
          </w:p>
        </w:tc>
        <w:tc>
          <w:tcPr>
            <w:tcW w:w="5405" w:type="dxa"/>
          </w:tcPr>
          <w:p w14:paraId="72CCA21C" w14:textId="51A4E887" w:rsidR="00F243A8" w:rsidRPr="00EE027F" w:rsidRDefault="00F243A8" w:rsidP="00C11E51">
            <w:pPr>
              <w:pStyle w:val="NoSpacing"/>
              <w:rPr>
                <w:rStyle w:val="normaltextrun"/>
                <w:rFonts w:cstheme="minorHAnsi"/>
                <w:bCs/>
                <w:sz w:val="24"/>
                <w:szCs w:val="24"/>
                <w:highlight w:val="yellow"/>
              </w:rPr>
            </w:pPr>
            <w:r w:rsidRPr="00174988">
              <w:rPr>
                <w:rStyle w:val="normaltextrun"/>
                <w:rFonts w:cstheme="minorHAnsi"/>
                <w:bCs/>
                <w:sz w:val="24"/>
                <w:szCs w:val="24"/>
              </w:rPr>
              <w:t>General events</w:t>
            </w:r>
            <w:r w:rsidR="00174988">
              <w:rPr>
                <w:rStyle w:val="normaltextrun"/>
                <w:rFonts w:cstheme="minorHAnsi"/>
                <w:bCs/>
                <w:sz w:val="24"/>
                <w:szCs w:val="24"/>
              </w:rPr>
              <w:t>, done safely</w:t>
            </w:r>
            <w:r w:rsidR="008B2CCF">
              <w:rPr>
                <w:rStyle w:val="normaltextrun"/>
                <w:rFonts w:cstheme="minorHAnsi"/>
                <w:bCs/>
                <w:sz w:val="24"/>
                <w:szCs w:val="24"/>
              </w:rPr>
              <w:t>,</w:t>
            </w:r>
            <w:r w:rsidR="00174988">
              <w:rPr>
                <w:rStyle w:val="normaltextrun"/>
                <w:rFonts w:cstheme="minorHAnsi"/>
                <w:bCs/>
                <w:sz w:val="24"/>
                <w:szCs w:val="24"/>
              </w:rPr>
              <w:t xml:space="preserve"> and honoring social distancing.  </w:t>
            </w:r>
          </w:p>
        </w:tc>
      </w:tr>
    </w:tbl>
    <w:p w14:paraId="0FC12B02" w14:textId="77777777" w:rsidR="00F243A8" w:rsidRPr="00EE027F" w:rsidRDefault="00F243A8" w:rsidP="00F243A8">
      <w:pPr>
        <w:widowControl w:val="0"/>
        <w:spacing w:after="0" w:line="240" w:lineRule="auto"/>
        <w:ind w:left="360"/>
        <w:rPr>
          <w:rStyle w:val="normaltextrun"/>
          <w:rFonts w:cstheme="minorHAnsi"/>
          <w:b/>
          <w:sz w:val="24"/>
          <w:szCs w:val="24"/>
          <w:highlight w:val="yellow"/>
        </w:rPr>
      </w:pPr>
    </w:p>
    <w:p w14:paraId="009BA26E" w14:textId="77777777" w:rsidR="00F243A8" w:rsidRPr="00174988" w:rsidRDefault="00F243A8" w:rsidP="00F243A8">
      <w:pPr>
        <w:widowControl w:val="0"/>
        <w:spacing w:after="0" w:line="240" w:lineRule="auto"/>
        <w:ind w:left="360"/>
        <w:rPr>
          <w:rStyle w:val="normaltextrun"/>
          <w:rFonts w:cstheme="minorHAnsi"/>
          <w:b/>
          <w:sz w:val="24"/>
          <w:szCs w:val="24"/>
        </w:rPr>
      </w:pPr>
      <w:r w:rsidRPr="00174988">
        <w:rPr>
          <w:rStyle w:val="normaltextrun"/>
          <w:rFonts w:cstheme="minorHAnsi"/>
          <w:b/>
          <w:sz w:val="24"/>
          <w:szCs w:val="24"/>
        </w:rPr>
        <w:t>Projects we are not likely to fund:</w:t>
      </w:r>
    </w:p>
    <w:tbl>
      <w:tblPr>
        <w:tblStyle w:val="TableGrid"/>
        <w:tblW w:w="0" w:type="auto"/>
        <w:tblInd w:w="36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79"/>
        <w:gridCol w:w="4611"/>
      </w:tblGrid>
      <w:tr w:rsidR="00F243A8" w:rsidRPr="00174988" w14:paraId="23457BE0" w14:textId="77777777" w:rsidTr="00C11E51">
        <w:tc>
          <w:tcPr>
            <w:tcW w:w="5213" w:type="dxa"/>
          </w:tcPr>
          <w:p w14:paraId="6DB2FA00" w14:textId="6F185B10" w:rsidR="00F243A8" w:rsidRPr="00174988" w:rsidRDefault="00F243A8" w:rsidP="00C11E51">
            <w:pPr>
              <w:widowControl w:val="0"/>
              <w:rPr>
                <w:rStyle w:val="normaltextrun"/>
                <w:rFonts w:cstheme="minorHAnsi"/>
                <w:sz w:val="24"/>
                <w:szCs w:val="24"/>
              </w:rPr>
            </w:pPr>
            <w:r w:rsidRPr="00174988">
              <w:rPr>
                <w:rStyle w:val="normaltextrun"/>
                <w:rFonts w:cstheme="minorHAnsi"/>
                <w:sz w:val="24"/>
                <w:szCs w:val="24"/>
              </w:rPr>
              <w:t xml:space="preserve">Film </w:t>
            </w:r>
            <w:r w:rsidR="0023383D">
              <w:rPr>
                <w:rStyle w:val="normaltextrun"/>
                <w:rFonts w:cstheme="minorHAnsi"/>
                <w:sz w:val="24"/>
                <w:szCs w:val="24"/>
              </w:rPr>
              <w:t xml:space="preserve">or Documentary </w:t>
            </w:r>
            <w:r w:rsidRPr="00174988">
              <w:rPr>
                <w:rStyle w:val="normaltextrun"/>
                <w:rFonts w:cstheme="minorHAnsi"/>
                <w:sz w:val="24"/>
                <w:szCs w:val="24"/>
              </w:rPr>
              <w:t>production</w:t>
            </w:r>
            <w:r w:rsidRPr="00174988">
              <w:rPr>
                <w:rStyle w:val="normaltextrun"/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5492" w:type="dxa"/>
          </w:tcPr>
          <w:p w14:paraId="062DBA01" w14:textId="77777777" w:rsidR="00F243A8" w:rsidRPr="00174988" w:rsidRDefault="00F243A8" w:rsidP="00C11E51">
            <w:pPr>
              <w:widowControl w:val="0"/>
              <w:rPr>
                <w:rStyle w:val="normaltextrun"/>
                <w:rFonts w:cstheme="minorHAnsi"/>
                <w:sz w:val="24"/>
                <w:szCs w:val="24"/>
              </w:rPr>
            </w:pPr>
            <w:r w:rsidRPr="00174988">
              <w:rPr>
                <w:rStyle w:val="normaltextrun"/>
                <w:rFonts w:cstheme="minorHAnsi"/>
                <w:sz w:val="24"/>
                <w:szCs w:val="24"/>
              </w:rPr>
              <w:t>Community gardens</w:t>
            </w:r>
          </w:p>
        </w:tc>
      </w:tr>
      <w:tr w:rsidR="00F243A8" w:rsidRPr="00174988" w14:paraId="7AC85A30" w14:textId="77777777" w:rsidTr="00C11E51">
        <w:tc>
          <w:tcPr>
            <w:tcW w:w="5213" w:type="dxa"/>
          </w:tcPr>
          <w:p w14:paraId="3BAE0D1A" w14:textId="77777777" w:rsidR="00F243A8" w:rsidRPr="00174988" w:rsidRDefault="00F243A8" w:rsidP="00C11E51">
            <w:pPr>
              <w:widowControl w:val="0"/>
              <w:rPr>
                <w:rStyle w:val="normaltextrun"/>
                <w:rFonts w:cstheme="minorHAnsi"/>
                <w:sz w:val="24"/>
                <w:szCs w:val="24"/>
              </w:rPr>
            </w:pPr>
            <w:r w:rsidRPr="00174988">
              <w:rPr>
                <w:rStyle w:val="normaltextrun"/>
                <w:rFonts w:cstheme="minorHAnsi"/>
                <w:sz w:val="24"/>
                <w:szCs w:val="24"/>
              </w:rPr>
              <w:t>Individuals</w:t>
            </w:r>
          </w:p>
        </w:tc>
        <w:tc>
          <w:tcPr>
            <w:tcW w:w="5492" w:type="dxa"/>
          </w:tcPr>
          <w:p w14:paraId="1F397849" w14:textId="77777777" w:rsidR="00F243A8" w:rsidRPr="00174988" w:rsidRDefault="00F243A8" w:rsidP="00C11E51">
            <w:pPr>
              <w:widowControl w:val="0"/>
              <w:rPr>
                <w:rStyle w:val="normaltextrun"/>
                <w:rFonts w:cstheme="minorHAnsi"/>
                <w:sz w:val="24"/>
                <w:szCs w:val="24"/>
              </w:rPr>
            </w:pPr>
            <w:r w:rsidRPr="00174988">
              <w:rPr>
                <w:rStyle w:val="normaltextrun"/>
                <w:rFonts w:cstheme="minorHAnsi"/>
                <w:sz w:val="24"/>
                <w:szCs w:val="24"/>
              </w:rPr>
              <w:t>National organizations</w:t>
            </w:r>
          </w:p>
        </w:tc>
      </w:tr>
      <w:tr w:rsidR="00F243A8" w:rsidRPr="00174988" w14:paraId="4347C13E" w14:textId="77777777" w:rsidTr="00C11E51">
        <w:tc>
          <w:tcPr>
            <w:tcW w:w="5213" w:type="dxa"/>
          </w:tcPr>
          <w:p w14:paraId="7338E330" w14:textId="77777777" w:rsidR="00F243A8" w:rsidRPr="00174988" w:rsidRDefault="00F243A8" w:rsidP="00C11E51">
            <w:pPr>
              <w:widowControl w:val="0"/>
              <w:rPr>
                <w:rStyle w:val="normaltextrun"/>
                <w:rFonts w:cstheme="minorHAnsi"/>
                <w:sz w:val="24"/>
                <w:szCs w:val="24"/>
              </w:rPr>
            </w:pPr>
            <w:r w:rsidRPr="00174988">
              <w:rPr>
                <w:rStyle w:val="normaltextrun"/>
                <w:rFonts w:cstheme="minorHAnsi"/>
                <w:sz w:val="24"/>
                <w:szCs w:val="24"/>
              </w:rPr>
              <w:t>Legal assistance</w:t>
            </w:r>
          </w:p>
        </w:tc>
        <w:tc>
          <w:tcPr>
            <w:tcW w:w="5492" w:type="dxa"/>
          </w:tcPr>
          <w:p w14:paraId="68709D19" w14:textId="77777777" w:rsidR="00F243A8" w:rsidRPr="00174988" w:rsidRDefault="00F243A8" w:rsidP="00C11E51">
            <w:pPr>
              <w:widowControl w:val="0"/>
              <w:rPr>
                <w:rStyle w:val="normaltextrun"/>
                <w:rFonts w:cstheme="minorHAnsi"/>
                <w:sz w:val="24"/>
                <w:szCs w:val="24"/>
              </w:rPr>
            </w:pPr>
            <w:r w:rsidRPr="00174988">
              <w:rPr>
                <w:rStyle w:val="normaltextrun"/>
                <w:rFonts w:cstheme="minorHAnsi"/>
                <w:sz w:val="24"/>
                <w:szCs w:val="24"/>
              </w:rPr>
              <w:t>Market campaigns</w:t>
            </w:r>
          </w:p>
        </w:tc>
      </w:tr>
      <w:tr w:rsidR="00F243A8" w:rsidRPr="00174988" w14:paraId="0532B9F8" w14:textId="77777777" w:rsidTr="00C11E51">
        <w:trPr>
          <w:trHeight w:val="288"/>
        </w:trPr>
        <w:tc>
          <w:tcPr>
            <w:tcW w:w="5213" w:type="dxa"/>
            <w:vAlign w:val="bottom"/>
          </w:tcPr>
          <w:p w14:paraId="32CD3659" w14:textId="77777777" w:rsidR="00F243A8" w:rsidRPr="00174988" w:rsidRDefault="00F243A8" w:rsidP="00C11E51">
            <w:pPr>
              <w:pStyle w:val="ListParagraph"/>
              <w:widowControl w:val="0"/>
              <w:ind w:left="0"/>
              <w:rPr>
                <w:rStyle w:val="normaltextrun"/>
                <w:rFonts w:cstheme="minorHAnsi"/>
                <w:sz w:val="24"/>
                <w:szCs w:val="24"/>
              </w:rPr>
            </w:pPr>
            <w:r w:rsidRPr="00174988">
              <w:rPr>
                <w:rStyle w:val="normaltextrun"/>
                <w:rFonts w:cstheme="minorHAnsi"/>
                <w:sz w:val="24"/>
                <w:szCs w:val="24"/>
              </w:rPr>
              <w:t>Natural environmental protections</w:t>
            </w:r>
          </w:p>
        </w:tc>
        <w:tc>
          <w:tcPr>
            <w:tcW w:w="5492" w:type="dxa"/>
          </w:tcPr>
          <w:p w14:paraId="05AAD179" w14:textId="77777777" w:rsidR="00F243A8" w:rsidRPr="00174988" w:rsidRDefault="00F243A8" w:rsidP="00C11E51">
            <w:pPr>
              <w:pStyle w:val="ListParagraph"/>
              <w:widowControl w:val="0"/>
              <w:ind w:left="0"/>
              <w:rPr>
                <w:rStyle w:val="normaltextrun"/>
                <w:rFonts w:cstheme="minorHAnsi"/>
                <w:sz w:val="24"/>
                <w:szCs w:val="24"/>
              </w:rPr>
            </w:pPr>
            <w:r w:rsidRPr="00174988">
              <w:rPr>
                <w:rStyle w:val="normaltextrun"/>
                <w:rFonts w:cstheme="minorHAnsi"/>
                <w:sz w:val="24"/>
                <w:szCs w:val="24"/>
              </w:rPr>
              <w:t>Food banks</w:t>
            </w:r>
          </w:p>
        </w:tc>
      </w:tr>
      <w:tr w:rsidR="00F243A8" w:rsidRPr="00174988" w14:paraId="18DF58DC" w14:textId="77777777" w:rsidTr="00C11E51">
        <w:tc>
          <w:tcPr>
            <w:tcW w:w="5213" w:type="dxa"/>
          </w:tcPr>
          <w:p w14:paraId="06151C9D" w14:textId="77777777" w:rsidR="00F243A8" w:rsidRPr="00174988" w:rsidRDefault="00F243A8" w:rsidP="00C11E51">
            <w:pPr>
              <w:widowControl w:val="0"/>
              <w:rPr>
                <w:rStyle w:val="normaltextrun"/>
                <w:rFonts w:cstheme="minorHAnsi"/>
                <w:sz w:val="24"/>
                <w:szCs w:val="24"/>
              </w:rPr>
            </w:pPr>
            <w:r w:rsidRPr="00174988">
              <w:rPr>
                <w:rStyle w:val="normaltextrun"/>
                <w:rFonts w:cstheme="minorHAnsi"/>
                <w:sz w:val="24"/>
                <w:szCs w:val="24"/>
              </w:rPr>
              <w:t xml:space="preserve">Organization outside of the United States </w:t>
            </w:r>
          </w:p>
        </w:tc>
        <w:tc>
          <w:tcPr>
            <w:tcW w:w="5492" w:type="dxa"/>
          </w:tcPr>
          <w:p w14:paraId="72F76B61" w14:textId="2CC0DC61" w:rsidR="00F243A8" w:rsidRPr="00174988" w:rsidRDefault="00F243A8" w:rsidP="00C11E51">
            <w:pPr>
              <w:widowControl w:val="0"/>
              <w:rPr>
                <w:rStyle w:val="normaltextrun"/>
                <w:rFonts w:cstheme="minorHAnsi"/>
                <w:sz w:val="24"/>
                <w:szCs w:val="24"/>
              </w:rPr>
            </w:pPr>
            <w:r w:rsidRPr="00174988">
              <w:rPr>
                <w:rStyle w:val="normaltextrun"/>
                <w:rFonts w:cstheme="minorHAnsi"/>
                <w:sz w:val="24"/>
                <w:szCs w:val="24"/>
              </w:rPr>
              <w:t>National Campaigns (except local/statewide group</w:t>
            </w:r>
            <w:r w:rsidR="008B2CCF">
              <w:rPr>
                <w:rStyle w:val="normaltextrun"/>
                <w:rFonts w:cstheme="minorHAnsi"/>
                <w:sz w:val="24"/>
                <w:szCs w:val="24"/>
              </w:rPr>
              <w:t>-</w:t>
            </w:r>
            <w:r w:rsidRPr="00174988">
              <w:rPr>
                <w:rStyle w:val="normaltextrun"/>
                <w:rFonts w:cstheme="minorHAnsi"/>
                <w:sz w:val="24"/>
                <w:szCs w:val="24"/>
              </w:rPr>
              <w:t xml:space="preserve">specific efforts may fit into a campaign) </w:t>
            </w:r>
          </w:p>
        </w:tc>
      </w:tr>
      <w:tr w:rsidR="00F243A8" w:rsidRPr="00EE027F" w14:paraId="7D8ACD85" w14:textId="77777777" w:rsidTr="00C11E51">
        <w:tc>
          <w:tcPr>
            <w:tcW w:w="5213" w:type="dxa"/>
          </w:tcPr>
          <w:p w14:paraId="4B60A3B2" w14:textId="77777777" w:rsidR="00F243A8" w:rsidRPr="00174988" w:rsidRDefault="00F243A8" w:rsidP="00C11E51">
            <w:pPr>
              <w:widowControl w:val="0"/>
              <w:rPr>
                <w:rStyle w:val="normaltextrun"/>
                <w:rFonts w:cstheme="minorHAnsi"/>
                <w:sz w:val="24"/>
                <w:szCs w:val="24"/>
              </w:rPr>
            </w:pPr>
            <w:r w:rsidRPr="00174988">
              <w:rPr>
                <w:rStyle w:val="normaltextrun"/>
                <w:rFonts w:cstheme="minorHAnsi"/>
                <w:sz w:val="24"/>
                <w:szCs w:val="24"/>
              </w:rPr>
              <w:t>We no longer can fund environmental testing</w:t>
            </w:r>
          </w:p>
        </w:tc>
        <w:tc>
          <w:tcPr>
            <w:tcW w:w="5492" w:type="dxa"/>
          </w:tcPr>
          <w:p w14:paraId="5574D135" w14:textId="7DD3525F" w:rsidR="00F243A8" w:rsidRPr="00174988" w:rsidRDefault="00F243A8" w:rsidP="00C11E51">
            <w:pPr>
              <w:widowControl w:val="0"/>
              <w:rPr>
                <w:rStyle w:val="normaltextrun"/>
                <w:rFonts w:cstheme="minorHAnsi"/>
                <w:sz w:val="24"/>
                <w:szCs w:val="24"/>
              </w:rPr>
            </w:pPr>
            <w:r w:rsidRPr="00174988">
              <w:rPr>
                <w:rStyle w:val="normaltextrun"/>
                <w:rFonts w:cstheme="minorHAnsi"/>
                <w:sz w:val="24"/>
                <w:szCs w:val="24"/>
              </w:rPr>
              <w:t xml:space="preserve">Groups with </w:t>
            </w:r>
            <w:r w:rsidR="008B2CCF">
              <w:rPr>
                <w:rStyle w:val="normaltextrun"/>
                <w:rFonts w:cstheme="minorHAnsi"/>
                <w:sz w:val="24"/>
                <w:szCs w:val="24"/>
              </w:rPr>
              <w:t xml:space="preserve">an </w:t>
            </w:r>
            <w:r w:rsidRPr="00174988">
              <w:rPr>
                <w:rStyle w:val="normaltextrun"/>
                <w:rFonts w:cstheme="minorHAnsi"/>
                <w:sz w:val="24"/>
                <w:szCs w:val="24"/>
              </w:rPr>
              <w:t>annual budget over one million dollars</w:t>
            </w:r>
          </w:p>
        </w:tc>
      </w:tr>
      <w:tr w:rsidR="00F243A8" w14:paraId="34BF2E10" w14:textId="77777777" w:rsidTr="00C11E51">
        <w:tc>
          <w:tcPr>
            <w:tcW w:w="5213" w:type="dxa"/>
          </w:tcPr>
          <w:p w14:paraId="50FB5D67" w14:textId="77777777" w:rsidR="00F243A8" w:rsidRDefault="00F243A8" w:rsidP="00C11E51">
            <w:pPr>
              <w:widowControl w:val="0"/>
              <w:rPr>
                <w:rStyle w:val="normaltextrun"/>
                <w:rFonts w:cstheme="minorHAnsi"/>
                <w:sz w:val="24"/>
                <w:szCs w:val="24"/>
              </w:rPr>
            </w:pPr>
            <w:r w:rsidRPr="00343AF3">
              <w:rPr>
                <w:rStyle w:val="normaltextrun"/>
                <w:rFonts w:cstheme="minorHAnsi"/>
                <w:sz w:val="24"/>
                <w:szCs w:val="24"/>
              </w:rPr>
              <w:t>Legislative lobbying</w:t>
            </w:r>
            <w:r>
              <w:rPr>
                <w:rStyle w:val="normaltextrun"/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492" w:type="dxa"/>
          </w:tcPr>
          <w:p w14:paraId="563B1C72" w14:textId="77777777" w:rsidR="00F243A8" w:rsidRDefault="00F243A8" w:rsidP="00C11E51">
            <w:pPr>
              <w:widowControl w:val="0"/>
              <w:rPr>
                <w:rStyle w:val="normaltextrun"/>
                <w:rFonts w:cstheme="minorHAnsi"/>
                <w:sz w:val="24"/>
                <w:szCs w:val="24"/>
              </w:rPr>
            </w:pPr>
          </w:p>
        </w:tc>
      </w:tr>
    </w:tbl>
    <w:p w14:paraId="2556DDD4" w14:textId="77777777" w:rsidR="00F243A8" w:rsidRDefault="00F243A8" w:rsidP="00F243A8">
      <w:pPr>
        <w:pStyle w:val="NoSpacing"/>
      </w:pPr>
    </w:p>
    <w:p w14:paraId="1088C278" w14:textId="77777777" w:rsidR="00F243A8" w:rsidRDefault="00F243A8" w:rsidP="00F243A8">
      <w:pPr>
        <w:pStyle w:val="NoSpacing"/>
        <w:ind w:left="360"/>
      </w:pPr>
      <w:r w:rsidRPr="00990827">
        <w:t xml:space="preserve">CHEJ’s </w:t>
      </w:r>
      <w:r>
        <w:t>Small Grants program focuses</w:t>
      </w:r>
      <w:r w:rsidRPr="00990827">
        <w:t xml:space="preserve"> on addressing environmental threats and associated public health </w:t>
      </w:r>
      <w:r>
        <w:t>h</w:t>
      </w:r>
      <w:r w:rsidRPr="00990827">
        <w:t>arms. </w:t>
      </w:r>
    </w:p>
    <w:p w14:paraId="69992EC3" w14:textId="77777777" w:rsidR="00F243A8" w:rsidRPr="00EE027F" w:rsidRDefault="00F243A8" w:rsidP="00F243A8">
      <w:pPr>
        <w:spacing w:after="0" w:line="240" w:lineRule="auto"/>
        <w:ind w:left="-180" w:right="-270"/>
        <w:rPr>
          <w:rFonts w:cstheme="minorHAnsi"/>
          <w:sz w:val="18"/>
          <w:szCs w:val="18"/>
        </w:rPr>
      </w:pPr>
    </w:p>
    <w:p w14:paraId="34A3DF62" w14:textId="2FABE507" w:rsidR="00F243A8" w:rsidRPr="00EE027F" w:rsidRDefault="00AA421C" w:rsidP="00F243A8">
      <w:pPr>
        <w:ind w:left="360" w:right="-270"/>
        <w:rPr>
          <w:rFonts w:cstheme="minorHAnsi"/>
          <w:b/>
        </w:rPr>
      </w:pPr>
      <w:r>
        <w:rPr>
          <w:rFonts w:cstheme="minorHAnsi"/>
          <w:b/>
          <w:u w:val="single"/>
        </w:rPr>
        <w:t xml:space="preserve">Proposals are due </w:t>
      </w:r>
      <w:r w:rsidR="00740C85">
        <w:rPr>
          <w:rFonts w:cstheme="minorHAnsi"/>
          <w:b/>
          <w:u w:val="single"/>
        </w:rPr>
        <w:t>February</w:t>
      </w:r>
      <w:r w:rsidR="0023383D">
        <w:rPr>
          <w:rFonts w:cstheme="minorHAnsi"/>
          <w:b/>
          <w:u w:val="single"/>
        </w:rPr>
        <w:t xml:space="preserve"> </w:t>
      </w:r>
      <w:r w:rsidR="00A2792B">
        <w:rPr>
          <w:rFonts w:cstheme="minorHAnsi"/>
          <w:b/>
          <w:u w:val="single"/>
        </w:rPr>
        <w:t>3rd</w:t>
      </w:r>
      <w:r w:rsidR="008B2CCF">
        <w:rPr>
          <w:rFonts w:cstheme="minorHAnsi"/>
          <w:b/>
          <w:u w:val="single"/>
        </w:rPr>
        <w:t>. 202</w:t>
      </w:r>
      <w:r w:rsidR="00337158">
        <w:rPr>
          <w:rFonts w:cstheme="minorHAnsi"/>
          <w:b/>
          <w:u w:val="single"/>
        </w:rPr>
        <w:t>3</w:t>
      </w:r>
      <w:r w:rsidR="00F243A8" w:rsidRPr="00EE027F">
        <w:rPr>
          <w:rFonts w:cstheme="minorHAnsi"/>
          <w:b/>
          <w:u w:val="single"/>
        </w:rPr>
        <w:t>.</w:t>
      </w:r>
      <w:r w:rsidR="00F243A8" w:rsidRPr="00EE027F">
        <w:rPr>
          <w:rFonts w:cstheme="minorHAnsi"/>
          <w:b/>
        </w:rPr>
        <w:t xml:space="preserve"> Your project must be </w:t>
      </w:r>
      <w:proofErr w:type="gramStart"/>
      <w:r w:rsidR="00F243A8" w:rsidRPr="00EE027F">
        <w:rPr>
          <w:rFonts w:cstheme="minorHAnsi"/>
          <w:b/>
        </w:rPr>
        <w:t>complete</w:t>
      </w:r>
      <w:proofErr w:type="gramEnd"/>
      <w:r w:rsidR="00F243A8" w:rsidRPr="00EE027F">
        <w:rPr>
          <w:rFonts w:cstheme="minorHAnsi"/>
          <w:b/>
        </w:rPr>
        <w:t xml:space="preserve"> and your final report submit</w:t>
      </w:r>
      <w:r w:rsidR="00F243A8">
        <w:rPr>
          <w:rFonts w:cstheme="minorHAnsi"/>
          <w:b/>
        </w:rPr>
        <w:t>ted</w:t>
      </w:r>
      <w:r w:rsidR="00F243A8" w:rsidRPr="00EE027F">
        <w:rPr>
          <w:rFonts w:cstheme="minorHAnsi"/>
          <w:b/>
        </w:rPr>
        <w:t xml:space="preserve"> by </w:t>
      </w:r>
      <w:r w:rsidR="00A2792B">
        <w:rPr>
          <w:rFonts w:cstheme="minorHAnsi"/>
          <w:b/>
          <w:u w:val="single"/>
        </w:rPr>
        <w:t>August</w:t>
      </w:r>
      <w:r w:rsidR="00740C85">
        <w:rPr>
          <w:rFonts w:cstheme="minorHAnsi"/>
          <w:b/>
          <w:u w:val="single"/>
        </w:rPr>
        <w:t xml:space="preserve"> 11</w:t>
      </w:r>
      <w:r w:rsidR="008B2CCF">
        <w:rPr>
          <w:rFonts w:cstheme="minorHAnsi"/>
          <w:b/>
          <w:u w:val="single"/>
        </w:rPr>
        <w:t>, 202</w:t>
      </w:r>
      <w:r w:rsidR="00A2792B">
        <w:rPr>
          <w:rFonts w:cstheme="minorHAnsi"/>
          <w:b/>
          <w:u w:val="single"/>
        </w:rPr>
        <w:t>3</w:t>
      </w:r>
      <w:r w:rsidR="00F243A8" w:rsidRPr="00EE027F">
        <w:rPr>
          <w:rFonts w:cstheme="minorHAnsi"/>
          <w:b/>
        </w:rPr>
        <w:t xml:space="preserve">. </w:t>
      </w:r>
    </w:p>
    <w:p w14:paraId="0DBD85B3" w14:textId="63F57E99" w:rsidR="00F243A8" w:rsidRPr="008733E3" w:rsidRDefault="00F243A8" w:rsidP="00F243A8">
      <w:pPr>
        <w:ind w:left="360" w:right="576"/>
        <w:rPr>
          <w:rFonts w:cstheme="minorHAnsi"/>
        </w:rPr>
      </w:pPr>
      <w:r w:rsidRPr="00CB4B11">
        <w:rPr>
          <w:rFonts w:ascii="Arial Rounded MT Bold" w:hAnsi="Arial Rounded MT Bold" w:cstheme="minorHAnsi"/>
          <w:b/>
        </w:rPr>
        <w:t>◊</w:t>
      </w:r>
      <w:r w:rsidRPr="00CB4B11">
        <w:rPr>
          <w:rFonts w:cstheme="minorHAnsi"/>
          <w:b/>
        </w:rPr>
        <w:t xml:space="preserve"> </w:t>
      </w:r>
      <w:r w:rsidRPr="008733E3">
        <w:rPr>
          <w:rFonts w:cstheme="minorHAnsi"/>
        </w:rPr>
        <w:t>The grant application is different for different sized organizations. Small organizations and all</w:t>
      </w:r>
      <w:r>
        <w:rPr>
          <w:rFonts w:cstheme="minorHAnsi"/>
        </w:rPr>
        <w:t>-</w:t>
      </w:r>
      <w:r w:rsidRPr="008733E3">
        <w:rPr>
          <w:rFonts w:cstheme="minorHAnsi"/>
        </w:rPr>
        <w:t xml:space="preserve">volunteer groups with </w:t>
      </w:r>
      <w:r w:rsidRPr="008733E3">
        <w:rPr>
          <w:rFonts w:cstheme="minorHAnsi"/>
          <w:u w:val="single"/>
        </w:rPr>
        <w:t xml:space="preserve">budgets under $50,000 should </w:t>
      </w:r>
      <w:hyperlink r:id="rId5" w:history="1">
        <w:r w:rsidRPr="002D0EB4">
          <w:rPr>
            <w:rStyle w:val="Hyperlink"/>
            <w:rFonts w:cstheme="minorHAnsi"/>
            <w:b/>
          </w:rPr>
          <w:t>click here</w:t>
        </w:r>
      </w:hyperlink>
      <w:r w:rsidRPr="008733E3">
        <w:rPr>
          <w:rFonts w:cstheme="minorHAnsi"/>
        </w:rPr>
        <w:t xml:space="preserve"> </w:t>
      </w:r>
      <w:r>
        <w:rPr>
          <w:rFonts w:cstheme="minorHAnsi"/>
        </w:rPr>
        <w:t xml:space="preserve">or go to </w:t>
      </w:r>
      <w:hyperlink r:id="rId6" w:history="1">
        <w:r w:rsidRPr="002A68D2">
          <w:rPr>
            <w:rStyle w:val="Hyperlink"/>
            <w:rFonts w:cstheme="minorHAnsi"/>
          </w:rPr>
          <w:t>http://chej.org/chej-small-grants-program/</w:t>
        </w:r>
      </w:hyperlink>
      <w:r>
        <w:rPr>
          <w:rFonts w:cstheme="minorHAnsi"/>
        </w:rPr>
        <w:t xml:space="preserve"> </w:t>
      </w:r>
      <w:r w:rsidRPr="008733E3">
        <w:rPr>
          <w:rFonts w:cstheme="minorHAnsi"/>
        </w:rPr>
        <w:t xml:space="preserve">for an application. Grants are available in this tier range from $1,000 to $5,000.  </w:t>
      </w:r>
      <w:r w:rsidR="00740C85">
        <w:rPr>
          <w:rFonts w:cstheme="minorHAnsi"/>
        </w:rPr>
        <w:t xml:space="preserve">Applications must be submitted as a word document. </w:t>
      </w:r>
    </w:p>
    <w:p w14:paraId="3ABEE85D" w14:textId="0C46F5A2" w:rsidR="00F243A8" w:rsidRPr="008733E3" w:rsidRDefault="00F243A8" w:rsidP="00F243A8">
      <w:pPr>
        <w:ind w:left="360" w:right="306"/>
        <w:rPr>
          <w:rFonts w:cstheme="minorHAnsi"/>
        </w:rPr>
      </w:pPr>
      <w:r w:rsidRPr="00CB4B11">
        <w:rPr>
          <w:rFonts w:ascii="Arial Rounded MT Bold" w:hAnsi="Arial Rounded MT Bold" w:cstheme="minorHAnsi"/>
          <w:b/>
        </w:rPr>
        <w:t>◊</w:t>
      </w:r>
      <w:r w:rsidRPr="00CB4B11">
        <w:rPr>
          <w:rFonts w:cstheme="minorHAnsi"/>
          <w:b/>
        </w:rPr>
        <w:t xml:space="preserve"> </w:t>
      </w:r>
      <w:r w:rsidRPr="008733E3">
        <w:rPr>
          <w:rFonts w:cstheme="minorHAnsi"/>
        </w:rPr>
        <w:t xml:space="preserve">For organizations with </w:t>
      </w:r>
      <w:r w:rsidRPr="008733E3">
        <w:rPr>
          <w:rFonts w:cstheme="minorHAnsi"/>
          <w:u w:val="single"/>
        </w:rPr>
        <w:t>budgets no greater than $250,000</w:t>
      </w:r>
      <w:r>
        <w:rPr>
          <w:rFonts w:cstheme="minorHAnsi"/>
          <w:u w:val="single"/>
        </w:rPr>
        <w:t>,</w:t>
      </w:r>
      <w:r w:rsidRPr="008733E3">
        <w:rPr>
          <w:rFonts w:cstheme="minorHAnsi"/>
          <w:u w:val="single"/>
        </w:rPr>
        <w:t xml:space="preserve"> </w:t>
      </w:r>
      <w:hyperlink r:id="rId7" w:history="1">
        <w:r w:rsidRPr="002D0EB4">
          <w:rPr>
            <w:rStyle w:val="Hyperlink"/>
            <w:rFonts w:cstheme="minorHAnsi"/>
            <w:b/>
          </w:rPr>
          <w:t>click here</w:t>
        </w:r>
      </w:hyperlink>
      <w:r w:rsidRPr="008733E3">
        <w:rPr>
          <w:rFonts w:cstheme="minorHAnsi"/>
        </w:rPr>
        <w:t xml:space="preserve"> </w:t>
      </w:r>
      <w:r>
        <w:rPr>
          <w:rFonts w:cstheme="minorHAnsi"/>
        </w:rPr>
        <w:t xml:space="preserve">or go to </w:t>
      </w:r>
      <w:hyperlink r:id="rId8" w:history="1">
        <w:r w:rsidRPr="002A68D2">
          <w:rPr>
            <w:rStyle w:val="Hyperlink"/>
            <w:rFonts w:cstheme="minorHAnsi"/>
          </w:rPr>
          <w:t>http://chej.org/chej-small-grants-program/</w:t>
        </w:r>
      </w:hyperlink>
      <w:r>
        <w:rPr>
          <w:rFonts w:cstheme="minorHAnsi"/>
        </w:rPr>
        <w:t xml:space="preserve"> </w:t>
      </w:r>
      <w:r w:rsidRPr="008733E3">
        <w:rPr>
          <w:rFonts w:cstheme="minorHAnsi"/>
        </w:rPr>
        <w:t xml:space="preserve">for an application. This tier of the program will provide support from $5,000 to $10,000. </w:t>
      </w:r>
      <w:r w:rsidR="00740C85">
        <w:rPr>
          <w:rFonts w:cstheme="minorHAnsi"/>
        </w:rPr>
        <w:t>Applications must be submitted as a word document.</w:t>
      </w:r>
    </w:p>
    <w:p w14:paraId="48E50470" w14:textId="552CCC01" w:rsidR="00F243A8" w:rsidRPr="008733E3" w:rsidRDefault="00F243A8" w:rsidP="00F243A8">
      <w:pPr>
        <w:ind w:left="360" w:right="396"/>
        <w:rPr>
          <w:rFonts w:cstheme="minorHAnsi"/>
        </w:rPr>
      </w:pPr>
      <w:r w:rsidRPr="00CB4B11">
        <w:rPr>
          <w:rFonts w:ascii="Arial Rounded MT Bold" w:hAnsi="Arial Rounded MT Bold" w:cstheme="minorHAnsi"/>
          <w:b/>
        </w:rPr>
        <w:t>◊</w:t>
      </w:r>
      <w:r w:rsidRPr="00CB4B11">
        <w:rPr>
          <w:rFonts w:cstheme="minorHAnsi"/>
          <w:b/>
        </w:rPr>
        <w:t xml:space="preserve"> </w:t>
      </w:r>
      <w:r w:rsidRPr="008733E3">
        <w:rPr>
          <w:rFonts w:cstheme="minorHAnsi"/>
        </w:rPr>
        <w:t xml:space="preserve">Larger organizations with </w:t>
      </w:r>
      <w:r w:rsidRPr="008733E3">
        <w:rPr>
          <w:rFonts w:cstheme="minorHAnsi"/>
          <w:u w:val="single"/>
        </w:rPr>
        <w:t>budgets over $250,000 should</w:t>
      </w:r>
      <w:r>
        <w:rPr>
          <w:rFonts w:cstheme="minorHAnsi"/>
          <w:u w:val="single"/>
        </w:rPr>
        <w:t xml:space="preserve"> </w:t>
      </w:r>
      <w:hyperlink r:id="rId9" w:history="1">
        <w:r w:rsidRPr="002D0EB4">
          <w:rPr>
            <w:rStyle w:val="Hyperlink"/>
            <w:rFonts w:cstheme="minorHAnsi"/>
            <w:b/>
          </w:rPr>
          <w:t>click here</w:t>
        </w:r>
      </w:hyperlink>
      <w:r w:rsidRPr="008733E3">
        <w:rPr>
          <w:rFonts w:cstheme="minorHAnsi"/>
        </w:rPr>
        <w:t xml:space="preserve"> </w:t>
      </w:r>
      <w:r>
        <w:rPr>
          <w:rFonts w:cstheme="minorHAnsi"/>
        </w:rPr>
        <w:t xml:space="preserve">or go to </w:t>
      </w:r>
      <w:hyperlink r:id="rId10" w:history="1">
        <w:r w:rsidRPr="002A68D2">
          <w:rPr>
            <w:rStyle w:val="Hyperlink"/>
            <w:rFonts w:cstheme="minorHAnsi"/>
          </w:rPr>
          <w:t>http://chej.org/chej-small-grants-program/</w:t>
        </w:r>
      </w:hyperlink>
      <w:r>
        <w:rPr>
          <w:rFonts w:cstheme="minorHAnsi"/>
        </w:rPr>
        <w:t xml:space="preserve"> </w:t>
      </w:r>
      <w:r w:rsidRPr="008733E3">
        <w:rPr>
          <w:rFonts w:cstheme="minorHAnsi"/>
        </w:rPr>
        <w:t xml:space="preserve">for an application. This tier of the program will support projects with grants from $10,000 to $20,000. </w:t>
      </w:r>
      <w:r w:rsidR="00740C85">
        <w:rPr>
          <w:rFonts w:cstheme="minorHAnsi"/>
        </w:rPr>
        <w:t>Applications must be submitted as a word document.</w:t>
      </w:r>
    </w:p>
    <w:p w14:paraId="14E80F90" w14:textId="3651ED0C" w:rsidR="00F243A8" w:rsidRPr="008733E3" w:rsidRDefault="00F243A8" w:rsidP="00F243A8">
      <w:pPr>
        <w:ind w:left="360" w:right="576"/>
        <w:jc w:val="both"/>
        <w:rPr>
          <w:rFonts w:cstheme="minorHAnsi"/>
        </w:rPr>
      </w:pPr>
      <w:r w:rsidRPr="008733E3">
        <w:rPr>
          <w:rFonts w:cstheme="minorHAnsi"/>
        </w:rPr>
        <w:t xml:space="preserve">If you are a grassroots group but are not incorporated and do not have a bank account, you will need to find an organization that can </w:t>
      </w:r>
      <w:r>
        <w:rPr>
          <w:rFonts w:cstheme="minorHAnsi"/>
        </w:rPr>
        <w:t>accept the funds for your group. Consider</w:t>
      </w:r>
      <w:r w:rsidRPr="008733E3">
        <w:rPr>
          <w:rFonts w:cstheme="minorHAnsi"/>
        </w:rPr>
        <w:t xml:space="preserve"> such as a faith-based organization or </w:t>
      </w:r>
      <w:r>
        <w:rPr>
          <w:rFonts w:cstheme="minorHAnsi"/>
        </w:rPr>
        <w:t>an</w:t>
      </w:r>
      <w:r w:rsidRPr="008733E3">
        <w:rPr>
          <w:rFonts w:cstheme="minorHAnsi"/>
        </w:rPr>
        <w:t>other non</w:t>
      </w:r>
      <w:r>
        <w:rPr>
          <w:rFonts w:cstheme="minorHAnsi"/>
        </w:rPr>
        <w:t xml:space="preserve">-profit who will serve as your </w:t>
      </w:r>
      <w:r w:rsidRPr="008733E3">
        <w:rPr>
          <w:rFonts w:cstheme="minorHAnsi"/>
        </w:rPr>
        <w:t>“fiscal sponsor.”  </w:t>
      </w:r>
    </w:p>
    <w:p w14:paraId="25A9B6BE" w14:textId="0F31D1E7" w:rsidR="00F243A8" w:rsidRDefault="00F243A8" w:rsidP="00F243A8">
      <w:pPr>
        <w:pStyle w:val="NoSpacing"/>
        <w:ind w:left="360" w:right="306"/>
        <w:jc w:val="both"/>
        <w:rPr>
          <w:rStyle w:val="eop"/>
          <w:rFonts w:cstheme="minorHAnsi"/>
        </w:rPr>
      </w:pPr>
      <w:r w:rsidRPr="008733E3">
        <w:rPr>
          <w:rStyle w:val="normaltextrun"/>
          <w:rFonts w:cstheme="minorHAnsi"/>
          <w:bCs/>
        </w:rPr>
        <w:t xml:space="preserve">Although we believe that many </w:t>
      </w:r>
      <w:r w:rsidR="008B2CCF">
        <w:rPr>
          <w:rStyle w:val="normaltextrun"/>
          <w:rFonts w:cstheme="minorHAnsi"/>
          <w:bCs/>
        </w:rPr>
        <w:t>field efforts</w:t>
      </w:r>
      <w:r w:rsidRPr="008733E3">
        <w:rPr>
          <w:rStyle w:val="normaltextrun"/>
          <w:rFonts w:cstheme="minorHAnsi"/>
          <w:bCs/>
        </w:rPr>
        <w:t xml:space="preserve"> are valuable in creating change, our resources are limited</w:t>
      </w:r>
      <w:r w:rsidRPr="008733E3">
        <w:rPr>
          <w:rStyle w:val="normaltextrun"/>
          <w:rFonts w:cstheme="minorHAnsi"/>
          <w:b/>
          <w:bCs/>
        </w:rPr>
        <w:t xml:space="preserve">. </w:t>
      </w:r>
      <w:r w:rsidRPr="008733E3">
        <w:rPr>
          <w:rStyle w:val="normaltextrun"/>
          <w:rFonts w:cstheme="minorHAnsi"/>
        </w:rPr>
        <w:t>Projects such as film production, community gardens, legal assistance, market campaigns, natural environment protection</w:t>
      </w:r>
      <w:r>
        <w:rPr>
          <w:rStyle w:val="normaltextrun"/>
          <w:rFonts w:cstheme="minorHAnsi"/>
        </w:rPr>
        <w:t>,</w:t>
      </w:r>
      <w:r w:rsidRPr="008733E3">
        <w:rPr>
          <w:rStyle w:val="normaltextrun"/>
          <w:rFonts w:cstheme="minorHAnsi"/>
        </w:rPr>
        <w:t xml:space="preserve"> and food banks are not likely to be supp</w:t>
      </w:r>
      <w:r>
        <w:rPr>
          <w:rStyle w:val="normaltextrun"/>
          <w:rFonts w:cstheme="minorHAnsi"/>
        </w:rPr>
        <w:t>orted. CHEJ’s program focus is</w:t>
      </w:r>
      <w:r w:rsidRPr="008733E3">
        <w:rPr>
          <w:rStyle w:val="normaltextrun"/>
          <w:rFonts w:cstheme="minorHAnsi"/>
        </w:rPr>
        <w:t xml:space="preserve"> on addressing environmental threats and associated public health harms.</w:t>
      </w:r>
      <w:r w:rsidRPr="008733E3">
        <w:rPr>
          <w:rStyle w:val="eop"/>
          <w:rFonts w:cstheme="minorHAnsi"/>
        </w:rPr>
        <w:t> </w:t>
      </w:r>
    </w:p>
    <w:p w14:paraId="7AD47009" w14:textId="77777777" w:rsidR="00F243A8" w:rsidRPr="00CB4B11" w:rsidRDefault="00F243A8" w:rsidP="00F243A8">
      <w:pPr>
        <w:pStyle w:val="NoSpacing"/>
      </w:pPr>
    </w:p>
    <w:p w14:paraId="07F45A0C" w14:textId="44EA6628" w:rsidR="00740C85" w:rsidRDefault="00F243A8" w:rsidP="00F243A8">
      <w:pPr>
        <w:ind w:left="360" w:right="30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 deadline for submitting your application is </w:t>
      </w:r>
      <w:r w:rsidR="00740C85">
        <w:rPr>
          <w:b/>
          <w:bCs/>
          <w:sz w:val="24"/>
          <w:szCs w:val="24"/>
          <w:u w:val="single"/>
        </w:rPr>
        <w:t>February</w:t>
      </w:r>
      <w:r w:rsidR="00A2792B">
        <w:rPr>
          <w:b/>
          <w:bCs/>
          <w:sz w:val="24"/>
          <w:szCs w:val="24"/>
          <w:u w:val="single"/>
        </w:rPr>
        <w:t xml:space="preserve"> 3rd</w:t>
      </w:r>
      <w:r w:rsidR="008B2CCF">
        <w:rPr>
          <w:b/>
          <w:bCs/>
          <w:sz w:val="24"/>
          <w:szCs w:val="24"/>
          <w:u w:val="single"/>
        </w:rPr>
        <w:t>, 202</w:t>
      </w:r>
      <w:r w:rsidR="00A2792B">
        <w:rPr>
          <w:b/>
          <w:bCs/>
          <w:sz w:val="24"/>
          <w:szCs w:val="24"/>
          <w:u w:val="single"/>
        </w:rPr>
        <w:t>3</w:t>
      </w:r>
      <w:r>
        <w:rPr>
          <w:b/>
          <w:bCs/>
          <w:sz w:val="24"/>
          <w:szCs w:val="24"/>
        </w:rPr>
        <w:t xml:space="preserve">. Applications must be submitted to CHEJ at </w:t>
      </w:r>
      <w:hyperlink r:id="rId11" w:history="1">
        <w:r w:rsidRPr="00734F51">
          <w:rPr>
            <w:rStyle w:val="Hyperlink"/>
            <w:b/>
            <w:bCs/>
            <w:sz w:val="24"/>
            <w:szCs w:val="24"/>
          </w:rPr>
          <w:t>grants@chej.org</w:t>
        </w:r>
      </w:hyperlink>
      <w:r w:rsidR="008B2CCF">
        <w:rPr>
          <w:rStyle w:val="Hyperlink"/>
          <w:b/>
          <w:bCs/>
          <w:sz w:val="24"/>
          <w:szCs w:val="24"/>
        </w:rPr>
        <w:t>,</w:t>
      </w:r>
      <w:r w:rsidRPr="002C66FE">
        <w:rPr>
          <w:rStyle w:val="Hyperlink"/>
          <w:b/>
          <w:bCs/>
          <w:sz w:val="24"/>
          <w:szCs w:val="24"/>
        </w:rPr>
        <w:t xml:space="preserve"> </w:t>
      </w:r>
      <w:r w:rsidRPr="00EE027F">
        <w:rPr>
          <w:rStyle w:val="Hyperlink"/>
          <w:b/>
          <w:bCs/>
          <w:color w:val="auto"/>
          <w:sz w:val="24"/>
          <w:szCs w:val="24"/>
        </w:rPr>
        <w:t>or</w:t>
      </w:r>
      <w:r w:rsidRPr="002C66FE">
        <w:rPr>
          <w:rStyle w:val="Hyperlink"/>
          <w:b/>
          <w:bCs/>
          <w:sz w:val="24"/>
          <w:szCs w:val="24"/>
        </w:rPr>
        <w:t xml:space="preserve"> you can </w:t>
      </w:r>
      <w:r>
        <w:rPr>
          <w:rStyle w:val="Hyperlink"/>
          <w:b/>
          <w:bCs/>
          <w:sz w:val="24"/>
          <w:szCs w:val="24"/>
        </w:rPr>
        <w:t xml:space="preserve">send it by </w:t>
      </w:r>
      <w:r w:rsidRPr="002C66FE">
        <w:rPr>
          <w:rStyle w:val="Hyperlink"/>
          <w:b/>
          <w:bCs/>
          <w:sz w:val="24"/>
          <w:szCs w:val="24"/>
        </w:rPr>
        <w:t>mail to CHEJ, P.O. Box 6806, Falls Church, VA 22046 (must be postmarke</w:t>
      </w:r>
      <w:r w:rsidR="00AA421C">
        <w:rPr>
          <w:rStyle w:val="Hyperlink"/>
          <w:b/>
          <w:bCs/>
          <w:sz w:val="24"/>
          <w:szCs w:val="24"/>
        </w:rPr>
        <w:t xml:space="preserve">d no later than </w:t>
      </w:r>
      <w:r w:rsidR="00740C85">
        <w:rPr>
          <w:rStyle w:val="Hyperlink"/>
          <w:b/>
          <w:bCs/>
          <w:sz w:val="24"/>
          <w:szCs w:val="24"/>
        </w:rPr>
        <w:t>February</w:t>
      </w:r>
      <w:r w:rsidR="0023383D">
        <w:rPr>
          <w:rStyle w:val="Hyperlink"/>
          <w:b/>
          <w:bCs/>
          <w:sz w:val="24"/>
          <w:szCs w:val="24"/>
        </w:rPr>
        <w:t xml:space="preserve"> </w:t>
      </w:r>
      <w:r w:rsidR="00A2792B">
        <w:rPr>
          <w:rStyle w:val="Hyperlink"/>
          <w:b/>
          <w:bCs/>
          <w:sz w:val="24"/>
          <w:szCs w:val="24"/>
        </w:rPr>
        <w:t>3rd</w:t>
      </w:r>
      <w:r w:rsidR="008B2CCF">
        <w:rPr>
          <w:rStyle w:val="Hyperlink"/>
          <w:b/>
          <w:bCs/>
          <w:sz w:val="24"/>
          <w:szCs w:val="24"/>
        </w:rPr>
        <w:t>, 202</w:t>
      </w:r>
      <w:r w:rsidR="00A2792B">
        <w:rPr>
          <w:rStyle w:val="Hyperlink"/>
          <w:b/>
          <w:bCs/>
          <w:sz w:val="24"/>
          <w:szCs w:val="24"/>
        </w:rPr>
        <w:t>3</w:t>
      </w:r>
      <w:r>
        <w:rPr>
          <w:rStyle w:val="Hyperlink"/>
          <w:b/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 xml:space="preserve">. </w:t>
      </w:r>
    </w:p>
    <w:p w14:paraId="42DB0161" w14:textId="2C4C58B8" w:rsidR="00F243A8" w:rsidRDefault="00F243A8" w:rsidP="00F243A8">
      <w:pPr>
        <w:ind w:left="360" w:right="30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Please check our application form carefully for more specifics on our guidelines. </w:t>
      </w:r>
    </w:p>
    <w:p w14:paraId="66D0C6AB" w14:textId="77777777" w:rsidR="00F243A8" w:rsidRDefault="00F243A8" w:rsidP="00F243A8">
      <w:pPr>
        <w:ind w:left="360"/>
        <w:rPr>
          <w:sz w:val="24"/>
          <w:szCs w:val="24"/>
        </w:rPr>
      </w:pPr>
      <w:r>
        <w:rPr>
          <w:sz w:val="24"/>
          <w:szCs w:val="24"/>
        </w:rPr>
        <w:t>If you have questions</w:t>
      </w:r>
      <w:r>
        <w:rPr>
          <w:color w:val="1F497D"/>
          <w:sz w:val="24"/>
          <w:szCs w:val="24"/>
        </w:rPr>
        <w:t>,</w:t>
      </w:r>
      <w:r>
        <w:rPr>
          <w:sz w:val="24"/>
          <w:szCs w:val="24"/>
        </w:rPr>
        <w:t xml:space="preserve"> feel free to give us a call at 614-539-1471 or send an email to Teresa Mills, tmills@chej.org.  </w:t>
      </w:r>
    </w:p>
    <w:p w14:paraId="7262858E" w14:textId="083BEFEE" w:rsidR="00F243A8" w:rsidRPr="00CB4B11" w:rsidRDefault="00F243A8" w:rsidP="00F243A8">
      <w:pPr>
        <w:ind w:left="360" w:right="360"/>
        <w:jc w:val="both"/>
      </w:pPr>
      <w:r>
        <w:rPr>
          <w:sz w:val="24"/>
          <w:szCs w:val="24"/>
        </w:rPr>
        <w:t>Our small grants training</w:t>
      </w:r>
      <w:r w:rsidR="00AA421C">
        <w:rPr>
          <w:sz w:val="24"/>
          <w:szCs w:val="24"/>
        </w:rPr>
        <w:t xml:space="preserve"> call will be on </w:t>
      </w:r>
      <w:r w:rsidR="00A2792B">
        <w:rPr>
          <w:sz w:val="24"/>
          <w:szCs w:val="24"/>
        </w:rPr>
        <w:t>January 20</w:t>
      </w:r>
      <w:r w:rsidR="00A2792B" w:rsidRPr="00A2792B">
        <w:rPr>
          <w:sz w:val="24"/>
          <w:szCs w:val="24"/>
          <w:vertAlign w:val="superscript"/>
        </w:rPr>
        <w:t>th</w:t>
      </w:r>
      <w:proofErr w:type="gramStart"/>
      <w:r w:rsidR="00A2792B">
        <w:rPr>
          <w:sz w:val="24"/>
          <w:szCs w:val="24"/>
        </w:rPr>
        <w:t xml:space="preserve"> 2023</w:t>
      </w:r>
      <w:proofErr w:type="gramEnd"/>
      <w:r>
        <w:rPr>
          <w:sz w:val="24"/>
          <w:szCs w:val="24"/>
        </w:rPr>
        <w:t xml:space="preserve">, from 12-1 Eastern Standard Time.  Please watch for our notice to register.  </w:t>
      </w:r>
    </w:p>
    <w:p w14:paraId="48AA86F5" w14:textId="77777777" w:rsidR="00F243A8" w:rsidRDefault="00F243A8" w:rsidP="00F243A8">
      <w:pPr>
        <w:spacing w:after="0" w:line="240" w:lineRule="auto"/>
        <w:rPr>
          <w:rFonts w:ascii="Calibri" w:eastAsia="Calibri" w:hAnsi="Calibri" w:cs="Calibri"/>
          <w:b/>
          <w:sz w:val="36"/>
          <w:szCs w:val="36"/>
        </w:rPr>
      </w:pPr>
    </w:p>
    <w:p w14:paraId="51082DE9" w14:textId="77777777" w:rsidR="00F243A8" w:rsidRDefault="00F243A8" w:rsidP="00F243A8">
      <w:pPr>
        <w:rPr>
          <w:sz w:val="24"/>
          <w:szCs w:val="24"/>
        </w:rPr>
      </w:pPr>
    </w:p>
    <w:p w14:paraId="41D6135E" w14:textId="77777777" w:rsidR="00F243A8" w:rsidRDefault="00F243A8" w:rsidP="00F243A8">
      <w:pPr>
        <w:spacing w:after="0" w:line="240" w:lineRule="auto"/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Thank you for your interest.</w:t>
      </w:r>
    </w:p>
    <w:p w14:paraId="4CB1E12D" w14:textId="77777777" w:rsidR="00BE1497" w:rsidRDefault="00BE1497"/>
    <w:sectPr w:rsidR="00BE1497" w:rsidSect="00174988">
      <w:pgSz w:w="12240" w:h="15840"/>
      <w:pgMar w:top="45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1NTMxMDG0NDGxsDRX0lEKTi0uzszPAykwNKgFAPWGXGwtAAAA"/>
  </w:docVars>
  <w:rsids>
    <w:rsidRoot w:val="00F243A8"/>
    <w:rsid w:val="00174988"/>
    <w:rsid w:val="00210665"/>
    <w:rsid w:val="0023383D"/>
    <w:rsid w:val="00337158"/>
    <w:rsid w:val="00343AF3"/>
    <w:rsid w:val="00374B1B"/>
    <w:rsid w:val="00721396"/>
    <w:rsid w:val="00740C85"/>
    <w:rsid w:val="008B2CCF"/>
    <w:rsid w:val="00A16840"/>
    <w:rsid w:val="00A2792B"/>
    <w:rsid w:val="00AA421C"/>
    <w:rsid w:val="00B04B25"/>
    <w:rsid w:val="00BE1497"/>
    <w:rsid w:val="00D41CC7"/>
    <w:rsid w:val="00F2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7086E"/>
  <w15:chartTrackingRefBased/>
  <w15:docId w15:val="{478B3835-8565-4E5F-B0A4-F0DD6B6E2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3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43A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243A8"/>
    <w:rPr>
      <w:color w:val="0000FF"/>
      <w:u w:val="single"/>
    </w:rPr>
  </w:style>
  <w:style w:type="paragraph" w:customStyle="1" w:styleId="paragraph">
    <w:name w:val="paragraph"/>
    <w:basedOn w:val="Normal"/>
    <w:rsid w:val="00F243A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243A8"/>
  </w:style>
  <w:style w:type="character" w:customStyle="1" w:styleId="eop">
    <w:name w:val="eop"/>
    <w:basedOn w:val="DefaultParagraphFont"/>
    <w:rsid w:val="00F243A8"/>
  </w:style>
  <w:style w:type="paragraph" w:styleId="ListParagraph">
    <w:name w:val="List Paragraph"/>
    <w:basedOn w:val="Normal"/>
    <w:uiPriority w:val="34"/>
    <w:qFormat/>
    <w:rsid w:val="00F243A8"/>
    <w:pPr>
      <w:ind w:left="720"/>
      <w:contextualSpacing/>
    </w:pPr>
  </w:style>
  <w:style w:type="table" w:styleId="TableGrid">
    <w:name w:val="Table Grid"/>
    <w:basedOn w:val="TableNormal"/>
    <w:uiPriority w:val="39"/>
    <w:rsid w:val="00F24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5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ej.org/chej-small-grants-program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C:\Users\mills\Dropbox%20(CHEJ)\CHEJ%20S%20Drive\Development\Mini-Grants\2022%20Small%20Grants%20program\2022%20R-1%20folder\2022%20Small%20Grants%20use%20for%20posting\2019%20Round%203,%20TIER%202%20and%203%20APPLICATIONS.docx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hej.org/chej-small-grants-program/" TargetMode="External"/><Relationship Id="rId11" Type="http://schemas.openxmlformats.org/officeDocument/2006/relationships/hyperlink" Target="mailto:grants@chej.org" TargetMode="External"/><Relationship Id="rId5" Type="http://schemas.openxmlformats.org/officeDocument/2006/relationships/hyperlink" Target="file:///C:\Users\mills\Dropbox%20(CHEJ)\CHEJ%20S%20Drive\Development\Mini-Grants\2022%20Small%20Grants%20program\2022%20R-1%20folder\2022%20Small%20Grants%20use%20for%20posting\2019%20Round%203,%20Tier%201,%20Application.docx" TargetMode="External"/><Relationship Id="rId10" Type="http://schemas.openxmlformats.org/officeDocument/2006/relationships/hyperlink" Target="http://chej.org/chej-small-grants-program/" TargetMode="External"/><Relationship Id="rId4" Type="http://schemas.openxmlformats.org/officeDocument/2006/relationships/image" Target="media/image1.png"/><Relationship Id="rId9" Type="http://schemas.openxmlformats.org/officeDocument/2006/relationships/hyperlink" Target="file:///C:\Users\mills\Dropbox%20(CHEJ)\CHEJ%20S%20Drive\Development\Mini-Grants\2022%20Small%20Grants%20program\2022%20R-1%20folder\2022%20Small%20Grants%20use%20for%20posting\2019%20Round%203,%20TIER%202%20and%203%20APPLICATIONS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Mills</dc:creator>
  <cp:keywords/>
  <dc:description/>
  <cp:lastModifiedBy>Gregory Kolen</cp:lastModifiedBy>
  <cp:revision>4</cp:revision>
  <dcterms:created xsi:type="dcterms:W3CDTF">2023-01-06T01:50:00Z</dcterms:created>
  <dcterms:modified xsi:type="dcterms:W3CDTF">2023-01-07T13:48:00Z</dcterms:modified>
</cp:coreProperties>
</file>